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8B5FE6"/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626"/>
        <w:gridCol w:w="286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8B5FE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E6A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rozporządzenia Ministra Cyfryzacji zmieniającego rozporządzenie w sprawie wymagań technicznych i eksploatacyjnych dla odbiorników cyfrowych</w:t>
            </w:r>
          </w:p>
          <w:p w:rsidR="00A06425" w:rsidRPr="00A06425" w:rsidRDefault="00A06425" w:rsidP="008B5FE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5742C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626" w:type="dxa"/>
            <w:shd w:val="clear" w:color="auto" w:fill="auto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5742CF">
        <w:tc>
          <w:tcPr>
            <w:tcW w:w="562" w:type="dxa"/>
            <w:shd w:val="clear" w:color="auto" w:fill="auto"/>
          </w:tcPr>
          <w:p w:rsidR="00A06425" w:rsidRPr="00A06425" w:rsidRDefault="00A06425" w:rsidP="008B5FE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E062F4" w:rsidP="008B5FE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9074B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 1 </w:t>
            </w:r>
          </w:p>
        </w:tc>
        <w:tc>
          <w:tcPr>
            <w:tcW w:w="7626" w:type="dxa"/>
            <w:shd w:val="clear" w:color="auto" w:fill="auto"/>
          </w:tcPr>
          <w:p w:rsidR="00A06425" w:rsidRPr="00A06425" w:rsidRDefault="0029074B" w:rsidP="001125D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obrębie tego przepisu wymaga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uspójnienia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sposób posługiwania się skrótem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Zgodnie ze słownikiem skrótów i akronimów z pkt 3 załącznika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oznacza – usługę dostarczającą dodatkowych treści multimedialnych przez sieć Internet.  W § 1 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w zdaniu pierwszym i czwartym skrótu </w:t>
            </w:r>
            <w:proofErr w:type="spellStart"/>
            <w:r w:rsidR="008B5FE6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 jest używany do określenia telewizji hybrydowej, w zdaniu drugim skrót ten jest używany samodzielnie</w:t>
            </w:r>
            <w:r w:rsidR="005742CF">
              <w:rPr>
                <w:rFonts w:asciiTheme="minorHAnsi" w:hAnsiTheme="minorHAnsi" w:cstheme="minorHAnsi"/>
                <w:sz w:val="22"/>
                <w:szCs w:val="22"/>
              </w:rPr>
              <w:t>, zaś w zdaniu trzecim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ten skrót występuje razem z wyrazem </w:t>
            </w:r>
            <w:r w:rsidR="005742CF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  <w:r w:rsidR="005742CF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03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64" w:type="dxa"/>
            <w:shd w:val="clear" w:color="auto" w:fill="auto"/>
          </w:tcPr>
          <w:p w:rsidR="00A06425" w:rsidRPr="00A06425" w:rsidRDefault="005742CF" w:rsidP="001125D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Posługiwanie się skrótem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 jednolicie przyjętym znaczeniu</w:t>
            </w:r>
            <w:r w:rsidR="003103EE">
              <w:rPr>
                <w:rFonts w:asciiTheme="minorHAnsi" w:hAnsiTheme="minorHAnsi" w:cstheme="minorHAnsi"/>
                <w:sz w:val="22"/>
                <w:szCs w:val="22"/>
              </w:rPr>
              <w:t xml:space="preserve"> i w ten sam sposób</w:t>
            </w:r>
            <w:r w:rsidR="0029074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742CF">
        <w:tc>
          <w:tcPr>
            <w:tcW w:w="562" w:type="dxa"/>
            <w:shd w:val="clear" w:color="auto" w:fill="auto"/>
          </w:tcPr>
          <w:p w:rsidR="00A06425" w:rsidRPr="00A06425" w:rsidRDefault="00A06425" w:rsidP="008B5FE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E062F4" w:rsidP="008B5FE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43C31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7626" w:type="dxa"/>
            <w:shd w:val="clear" w:color="auto" w:fill="auto"/>
          </w:tcPr>
          <w:p w:rsidR="00A06425" w:rsidRPr="008B5FE6" w:rsidRDefault="0029074B" w:rsidP="001125D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W związku z zaproponowaną w projekcie przekazanym do rozpatrzenia przez KRMC zmianą terminu wejścia w życie rozporządzenia, Rządowe Centrum Legislacji </w:t>
            </w:r>
            <w:r w:rsidRPr="001125D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zwraca uwagę, że jeżeli</w:t>
            </w: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termin wejścia w życie tego rozporządzenia, tj. po upływie  7 dni od dnia ogłoszenia, o którym mowa § 3 projektu, nastąpi po 1 września 2020 r., wówczas skutek zmiany wersji specyfikacji technicznej standardu </w:t>
            </w:r>
            <w:proofErr w:type="spellStart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na wersję 2.0.1 (niższą w stosunku do rozporządzenia obowiązującego) oraz zmiana charakteru wymagań technicznych dotyczących </w:t>
            </w:r>
            <w:proofErr w:type="spellStart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(z fakultatywnych na obligatoryjne) nastąpi po upływie </w:t>
            </w:r>
            <w:r w:rsidRPr="008B5FE6">
              <w:rPr>
                <w:rFonts w:asciiTheme="minorHAnsi" w:hAnsiTheme="minorHAnsi" w:cstheme="minorHAnsi"/>
                <w:i/>
                <w:sz w:val="22"/>
                <w:szCs w:val="22"/>
              </w:rPr>
              <w:t>vacatio legis</w:t>
            </w: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125DB">
              <w:rPr>
                <w:rFonts w:asciiTheme="minorHAnsi" w:hAnsiTheme="minorHAnsi" w:cstheme="minorHAnsi"/>
                <w:sz w:val="22"/>
                <w:szCs w:val="22"/>
              </w:rPr>
              <w:t xml:space="preserve">zmienianego </w:t>
            </w: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rozporządzenia, a zatem po zobowiązaniu producentów do przestrzegania standardu </w:t>
            </w:r>
            <w:proofErr w:type="spellStart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w wersji 2.0.2 (a zatem w wersji wyższej), o ile w oferowane przez nich odbiorniki umożliwiają wykorzystanie telewizji hybrydowej </w:t>
            </w:r>
            <w:proofErr w:type="spellStart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. Biorąc pod uwagę konieczność uwzględnienia przez projektodawcę okresu </w:t>
            </w:r>
            <w:proofErr w:type="spellStart"/>
            <w:r w:rsidRPr="008B5FE6">
              <w:rPr>
                <w:rFonts w:asciiTheme="minorHAnsi" w:hAnsiTheme="minorHAnsi" w:cstheme="minorHAnsi"/>
                <w:i/>
                <w:sz w:val="22"/>
                <w:szCs w:val="22"/>
              </w:rPr>
              <w:t>standstill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wynikającego z obowiązku notyfikacji aktu normatywnego oraz możliwość ewentualnego przedłużenia tego okresu w razie uwag Komisji Europejskiej lub wydania przez nią szczegółowej opinii</w:t>
            </w:r>
            <w:r w:rsidR="001125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 Rządowe Centrum Legislacji zwraca uwagę, że skutkiem takiej zmiany terminu wejścia w życie rozporządzenia może być powstanie sytuacji przejściowego zobowiązania do przestrzegania wyższego standardu wszystkich producentów odbiorników cyfrowych umożliwiających wykorzystanie telewizji hybrydowej </w:t>
            </w:r>
            <w:proofErr w:type="spellStart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29074B">
              <w:rPr>
                <w:rFonts w:asciiTheme="minorHAnsi" w:hAnsiTheme="minorHAnsi" w:cstheme="minorHAnsi"/>
                <w:sz w:val="22"/>
                <w:szCs w:val="22"/>
              </w:rPr>
              <w:t xml:space="preserve">, której to sytuacji przejściowej nie reguluje § 2 niniejszego rozporządzenia. Kwestia ta wymaga analizy projektodawcy i 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będzie wymagała </w:t>
            </w:r>
            <w:r w:rsidRPr="0029074B">
              <w:rPr>
                <w:rFonts w:asciiTheme="minorHAnsi" w:hAnsiTheme="minorHAnsi" w:cstheme="minorHAnsi"/>
                <w:sz w:val="22"/>
                <w:szCs w:val="22"/>
              </w:rPr>
              <w:t>przyjęcia stosownych rozwiązań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w zależności od terminu notyfikacji</w:t>
            </w:r>
            <w:r w:rsidR="001125DB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 upływu </w:t>
            </w:r>
            <w:r w:rsidR="008B5FE6" w:rsidRPr="008B5FE6">
              <w:rPr>
                <w:rFonts w:asciiTheme="minorHAnsi" w:hAnsiTheme="minorHAnsi" w:cstheme="minorHAnsi"/>
                <w:sz w:val="22"/>
                <w:szCs w:val="22"/>
              </w:rPr>
              <w:t>okresu</w:t>
            </w:r>
            <w:r w:rsidR="008B5FE6" w:rsidRPr="008B5FE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8B5FE6" w:rsidRPr="008B5FE6">
              <w:rPr>
                <w:rFonts w:asciiTheme="minorHAnsi" w:hAnsiTheme="minorHAnsi" w:cstheme="minorHAnsi"/>
                <w:i/>
                <w:sz w:val="22"/>
                <w:szCs w:val="22"/>
              </w:rPr>
              <w:t>standstill</w:t>
            </w:r>
            <w:proofErr w:type="spellEnd"/>
            <w:r w:rsidR="008B5FE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864" w:type="dxa"/>
            <w:shd w:val="clear" w:color="auto" w:fill="auto"/>
          </w:tcPr>
          <w:p w:rsidR="00A06425" w:rsidRPr="00A06425" w:rsidRDefault="008B5FE6" w:rsidP="001125D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zależności od przewidywanego terminu upływu okresu </w:t>
            </w:r>
            <w:proofErr w:type="spellStart"/>
            <w:r w:rsidRPr="008B5FE6">
              <w:rPr>
                <w:rFonts w:asciiTheme="minorHAnsi" w:hAnsiTheme="minorHAnsi" w:cstheme="minorHAnsi"/>
                <w:i/>
                <w:sz w:val="22"/>
                <w:szCs w:val="22"/>
              </w:rPr>
              <w:t>standstill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terminu wejścia w życie niniejszego rozporządzenia. </w:t>
            </w:r>
          </w:p>
        </w:tc>
        <w:tc>
          <w:tcPr>
            <w:tcW w:w="1359" w:type="dxa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742CF">
        <w:tc>
          <w:tcPr>
            <w:tcW w:w="562" w:type="dxa"/>
            <w:shd w:val="clear" w:color="auto" w:fill="auto"/>
          </w:tcPr>
          <w:p w:rsidR="00A06425" w:rsidRPr="00A06425" w:rsidRDefault="00A06425" w:rsidP="008B5FE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E062F4" w:rsidP="008B5FE6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443C31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</w:t>
            </w:r>
          </w:p>
        </w:tc>
        <w:tc>
          <w:tcPr>
            <w:tcW w:w="7626" w:type="dxa"/>
            <w:shd w:val="clear" w:color="auto" w:fill="auto"/>
          </w:tcPr>
          <w:p w:rsidR="00A06425" w:rsidRPr="00A06425" w:rsidRDefault="008B5FE6" w:rsidP="002160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8B5FE6">
              <w:rPr>
                <w:rFonts w:asciiTheme="minorHAnsi" w:hAnsiTheme="minorHAnsi" w:cstheme="minorHAnsi"/>
                <w:sz w:val="22"/>
                <w:szCs w:val="22"/>
              </w:rPr>
              <w:t>odtrzymuje uwagę przekazaną w stanowisku z dnia 29 maja 2020 r. dotyczącą potrzeby uzupełnienia uzasadnienia przez</w:t>
            </w:r>
            <w:bookmarkStart w:id="0" w:name="_GoBack"/>
            <w:bookmarkEnd w:id="0"/>
            <w:r w:rsidRPr="008B5FE6">
              <w:rPr>
                <w:rFonts w:asciiTheme="minorHAnsi" w:hAnsiTheme="minorHAnsi" w:cstheme="minorHAnsi"/>
                <w:sz w:val="22"/>
                <w:szCs w:val="22"/>
              </w:rPr>
              <w:t xml:space="preserve"> odniesienie się do wzajemnej relacji wersji standardu </w:t>
            </w:r>
            <w:proofErr w:type="spellStart"/>
            <w:r w:rsidRPr="008B5FE6"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 w:rsidRPr="008B5FE6">
              <w:rPr>
                <w:rFonts w:asciiTheme="minorHAnsi" w:hAnsiTheme="minorHAnsi" w:cstheme="minorHAnsi"/>
                <w:sz w:val="22"/>
                <w:szCs w:val="22"/>
              </w:rPr>
              <w:t xml:space="preserve"> i wersji specyfikacji technicznej ETSI TS 102 796, do którego stosowania będą zobligowani producenci odbiorników cyfrowych po wprowadzeniu nowelizacji.</w:t>
            </w:r>
          </w:p>
        </w:tc>
        <w:tc>
          <w:tcPr>
            <w:tcW w:w="2864" w:type="dxa"/>
            <w:shd w:val="clear" w:color="auto" w:fill="auto"/>
          </w:tcPr>
          <w:p w:rsidR="00A06425" w:rsidRPr="00A06425" w:rsidRDefault="008B5FE6" w:rsidP="002160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Określenie w uzasadnieniu wersji standardu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HbbTV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łącznie z wersją normy ETSI TS 102 796 właściwą dla tego standardu</w:t>
            </w:r>
            <w:r w:rsidR="00FF01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359" w:type="dxa"/>
          </w:tcPr>
          <w:p w:rsidR="00A06425" w:rsidRPr="00A06425" w:rsidRDefault="00A06425" w:rsidP="008B5F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8B5FE6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125DB"/>
    <w:rsid w:val="00140BE8"/>
    <w:rsid w:val="0019648E"/>
    <w:rsid w:val="00216087"/>
    <w:rsid w:val="002715B2"/>
    <w:rsid w:val="0029074B"/>
    <w:rsid w:val="003103EE"/>
    <w:rsid w:val="003124D1"/>
    <w:rsid w:val="003B4105"/>
    <w:rsid w:val="003E6A37"/>
    <w:rsid w:val="00443C31"/>
    <w:rsid w:val="004D086F"/>
    <w:rsid w:val="005742CF"/>
    <w:rsid w:val="005F6527"/>
    <w:rsid w:val="006705EC"/>
    <w:rsid w:val="006E16E9"/>
    <w:rsid w:val="00807385"/>
    <w:rsid w:val="008B5FE6"/>
    <w:rsid w:val="00944932"/>
    <w:rsid w:val="009E5FDB"/>
    <w:rsid w:val="00A06425"/>
    <w:rsid w:val="00AC7796"/>
    <w:rsid w:val="00B871B6"/>
    <w:rsid w:val="00C64B1B"/>
    <w:rsid w:val="00CD5EB0"/>
    <w:rsid w:val="00E062F4"/>
    <w:rsid w:val="00E14C33"/>
    <w:rsid w:val="00FF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Trojanowska-Wysocka Barbara</cp:lastModifiedBy>
  <cp:revision>6</cp:revision>
  <dcterms:created xsi:type="dcterms:W3CDTF">2020-06-04T16:26:00Z</dcterms:created>
  <dcterms:modified xsi:type="dcterms:W3CDTF">2020-06-05T06:16:00Z</dcterms:modified>
</cp:coreProperties>
</file>